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26 ноября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Мухаметьяров Ильдар Мухаматуллович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17.09.1985 г.р., паспорт 5217 691470, выдан Отделением УФМС России по Омской области в Нововаршавском районе, 18.10.2017 г., зарегистрирован по адресу: обл. Омская, р-н Нововаршавский, РП Большегривское, ул. Ленина, дом 8, кв. 64,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118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26.11.2025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65, 10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Граничная, № 9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15000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Пятнадцать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Мухаметьяров Ильдар Мухаматуллович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И.М. Мухаметьяров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